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w:t>
      </w:r>
      <w:bookmarkStart w:id="1" w:name="_GoBack"/>
      <w:bookmarkEnd w:id="1"/>
      <w:r>
        <w:rPr>
          <w:rFonts w:hint="eastAsia" w:ascii="宋体" w:hAnsi="宋体" w:cs="Tahoma"/>
          <w:color w:val="auto"/>
          <w:sz w:val="24"/>
          <w:szCs w:val="24"/>
        </w:rPr>
        <w:t>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792" w:type="pct"/>
        <w:tblInd w:w="0" w:type="dxa"/>
        <w:tblLayout w:type="fixed"/>
        <w:tblCellMar>
          <w:top w:w="0" w:type="dxa"/>
          <w:left w:w="108" w:type="dxa"/>
          <w:bottom w:w="0" w:type="dxa"/>
          <w:right w:w="108" w:type="dxa"/>
        </w:tblCellMar>
      </w:tblPr>
      <w:tblGrid>
        <w:gridCol w:w="982"/>
        <w:gridCol w:w="1707"/>
        <w:gridCol w:w="1319"/>
        <w:gridCol w:w="1226"/>
        <w:gridCol w:w="1273"/>
        <w:gridCol w:w="931"/>
        <w:gridCol w:w="1028"/>
        <w:gridCol w:w="1082"/>
      </w:tblGrid>
      <w:tr w14:paraId="3A380E7F">
        <w:trPr>
          <w:trHeight w:val="953" w:hRule="atLeast"/>
        </w:trPr>
        <w:tc>
          <w:tcPr>
            <w:tcW w:w="514" w:type="pct"/>
            <w:tcBorders>
              <w:top w:val="single" w:color="auto" w:sz="4" w:space="0"/>
              <w:left w:val="single" w:color="auto" w:sz="4" w:space="0"/>
              <w:bottom w:val="single" w:color="auto" w:sz="4" w:space="0"/>
              <w:right w:val="single" w:color="auto" w:sz="4" w:space="0"/>
            </w:tcBorders>
            <w:noWrap w:val="0"/>
            <w:vAlign w:val="center"/>
          </w:tcPr>
          <w:p w14:paraId="5D8F825E">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893" w:type="pct"/>
            <w:tcBorders>
              <w:top w:val="single" w:color="auto" w:sz="4" w:space="0"/>
              <w:left w:val="nil"/>
              <w:bottom w:val="single" w:color="auto" w:sz="4" w:space="0"/>
              <w:right w:val="single" w:color="auto" w:sz="4" w:space="0"/>
            </w:tcBorders>
            <w:noWrap w:val="0"/>
            <w:vAlign w:val="center"/>
          </w:tcPr>
          <w:p w14:paraId="7F17CE0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690" w:type="pct"/>
            <w:tcBorders>
              <w:top w:val="single" w:color="auto" w:sz="4" w:space="0"/>
              <w:left w:val="nil"/>
              <w:bottom w:val="single" w:color="auto" w:sz="4" w:space="0"/>
              <w:right w:val="single" w:color="auto" w:sz="4" w:space="0"/>
            </w:tcBorders>
            <w:noWrap w:val="0"/>
            <w:vAlign w:val="center"/>
          </w:tcPr>
          <w:p w14:paraId="7D60C06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642" w:type="pct"/>
            <w:tcBorders>
              <w:top w:val="single" w:color="auto" w:sz="4" w:space="0"/>
              <w:left w:val="nil"/>
              <w:bottom w:val="single" w:color="auto" w:sz="4" w:space="0"/>
              <w:right w:val="single" w:color="auto" w:sz="4" w:space="0"/>
            </w:tcBorders>
            <w:noWrap w:val="0"/>
            <w:vAlign w:val="center"/>
          </w:tcPr>
          <w:p w14:paraId="61EFF2B6">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666" w:type="pct"/>
            <w:tcBorders>
              <w:top w:val="single" w:color="auto" w:sz="4" w:space="0"/>
              <w:left w:val="nil"/>
              <w:bottom w:val="single" w:color="auto" w:sz="4" w:space="0"/>
              <w:right w:val="single" w:color="auto" w:sz="4" w:space="0"/>
            </w:tcBorders>
            <w:noWrap w:val="0"/>
            <w:vAlign w:val="center"/>
          </w:tcPr>
          <w:p w14:paraId="751A1CE4">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487" w:type="pct"/>
            <w:tcBorders>
              <w:top w:val="single" w:color="auto" w:sz="4" w:space="0"/>
              <w:left w:val="nil"/>
              <w:bottom w:val="single" w:color="auto" w:sz="4" w:space="0"/>
              <w:right w:val="single" w:color="auto" w:sz="4" w:space="0"/>
            </w:tcBorders>
            <w:noWrap w:val="0"/>
            <w:vAlign w:val="center"/>
          </w:tcPr>
          <w:p w14:paraId="2E016FD8">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538" w:type="pct"/>
            <w:tcBorders>
              <w:top w:val="single" w:color="auto" w:sz="4" w:space="0"/>
              <w:left w:val="nil"/>
              <w:bottom w:val="single" w:color="auto" w:sz="4" w:space="0"/>
              <w:right w:val="single" w:color="auto" w:sz="4" w:space="0"/>
            </w:tcBorders>
            <w:noWrap/>
            <w:vAlign w:val="center"/>
          </w:tcPr>
          <w:p w14:paraId="1284E732">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c>
          <w:tcPr>
            <w:tcW w:w="566" w:type="pct"/>
            <w:tcBorders>
              <w:top w:val="single" w:color="auto" w:sz="4" w:space="0"/>
              <w:left w:val="nil"/>
              <w:bottom w:val="single" w:color="auto" w:sz="4" w:space="0"/>
              <w:right w:val="single" w:color="auto" w:sz="4" w:space="0"/>
            </w:tcBorders>
            <w:noWrap/>
            <w:vAlign w:val="center"/>
          </w:tcPr>
          <w:p w14:paraId="797B4933">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3BBDE301">
        <w:tblPrEx>
          <w:tblCellMar>
            <w:top w:w="0" w:type="dxa"/>
            <w:left w:w="108" w:type="dxa"/>
            <w:bottom w:w="0" w:type="dxa"/>
            <w:right w:w="108" w:type="dxa"/>
          </w:tblCellMar>
        </w:tblPrEx>
        <w:trPr>
          <w:trHeight w:val="963" w:hRule="atLeast"/>
        </w:trPr>
        <w:tc>
          <w:tcPr>
            <w:tcW w:w="514" w:type="pct"/>
            <w:tcBorders>
              <w:top w:val="single" w:color="auto" w:sz="4" w:space="0"/>
              <w:left w:val="single" w:color="auto" w:sz="8" w:space="0"/>
              <w:bottom w:val="single" w:color="auto" w:sz="4" w:space="0"/>
              <w:right w:val="single" w:color="auto" w:sz="8" w:space="0"/>
            </w:tcBorders>
            <w:noWrap w:val="0"/>
            <w:vAlign w:val="center"/>
          </w:tcPr>
          <w:p w14:paraId="5768782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893" w:type="pct"/>
            <w:tcBorders>
              <w:top w:val="single" w:color="auto" w:sz="4" w:space="0"/>
              <w:left w:val="nil"/>
              <w:bottom w:val="single" w:color="auto" w:sz="4" w:space="0"/>
              <w:right w:val="single" w:color="auto" w:sz="8" w:space="0"/>
            </w:tcBorders>
            <w:noWrap w:val="0"/>
            <w:vAlign w:val="center"/>
          </w:tcPr>
          <w:p w14:paraId="0D393BB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镇海区定海路505号城市物流孵化园二期西1-西4仓库</w:t>
            </w:r>
          </w:p>
        </w:tc>
        <w:tc>
          <w:tcPr>
            <w:tcW w:w="690" w:type="pct"/>
            <w:tcBorders>
              <w:top w:val="single" w:color="auto" w:sz="4" w:space="0"/>
              <w:left w:val="nil"/>
              <w:bottom w:val="single" w:color="auto" w:sz="4" w:space="0"/>
              <w:right w:val="single" w:color="auto" w:sz="8" w:space="0"/>
            </w:tcBorders>
            <w:noWrap w:val="0"/>
            <w:vAlign w:val="center"/>
          </w:tcPr>
          <w:p w14:paraId="5BDBC6D6">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仓储用地/1#车间</w:t>
            </w:r>
          </w:p>
        </w:tc>
        <w:tc>
          <w:tcPr>
            <w:tcW w:w="642" w:type="pct"/>
            <w:tcBorders>
              <w:top w:val="single" w:color="auto" w:sz="4" w:space="0"/>
              <w:left w:val="nil"/>
              <w:bottom w:val="single" w:color="auto" w:sz="4" w:space="0"/>
              <w:right w:val="single" w:color="auto" w:sz="8" w:space="0"/>
            </w:tcBorders>
            <w:noWrap w:val="0"/>
            <w:vAlign w:val="center"/>
          </w:tcPr>
          <w:p w14:paraId="7986E29B">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bidi="ar-SA"/>
              </w:rPr>
              <w:t>3064.92</w:t>
            </w:r>
          </w:p>
        </w:tc>
        <w:tc>
          <w:tcPr>
            <w:tcW w:w="666" w:type="pct"/>
            <w:tcBorders>
              <w:top w:val="single" w:color="auto" w:sz="4" w:space="0"/>
              <w:left w:val="nil"/>
              <w:bottom w:val="single" w:color="auto" w:sz="4" w:space="0"/>
              <w:right w:val="single" w:color="auto" w:sz="8" w:space="0"/>
            </w:tcBorders>
            <w:noWrap w:val="0"/>
            <w:vAlign w:val="center"/>
          </w:tcPr>
          <w:p w14:paraId="0CB5941F">
            <w:pPr>
              <w:pStyle w:val="9"/>
              <w:shd w:val="clear" w:color="auto" w:fill="FFFFFF"/>
              <w:snapToGrid w:val="0"/>
              <w:spacing w:before="0" w:beforeAutospacing="0" w:after="0" w:afterAutospacing="0" w:line="320" w:lineRule="exact"/>
              <w:ind w:firstLine="210" w:firstLineChars="100"/>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956300</w:t>
            </w:r>
          </w:p>
        </w:tc>
        <w:tc>
          <w:tcPr>
            <w:tcW w:w="487" w:type="pct"/>
            <w:tcBorders>
              <w:top w:val="single" w:color="auto" w:sz="4" w:space="0"/>
              <w:left w:val="nil"/>
              <w:bottom w:val="single" w:color="auto" w:sz="4" w:space="0"/>
              <w:right w:val="nil"/>
            </w:tcBorders>
            <w:noWrap w:val="0"/>
            <w:vAlign w:val="center"/>
          </w:tcPr>
          <w:p w14:paraId="2A3B8261">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100000</w:t>
            </w:r>
          </w:p>
        </w:tc>
        <w:tc>
          <w:tcPr>
            <w:tcW w:w="538" w:type="pct"/>
            <w:tcBorders>
              <w:top w:val="single" w:color="auto" w:sz="4" w:space="0"/>
              <w:left w:val="single" w:color="auto" w:sz="4" w:space="0"/>
              <w:bottom w:val="single" w:color="auto" w:sz="4" w:space="0"/>
              <w:right w:val="single" w:color="auto" w:sz="4" w:space="0"/>
            </w:tcBorders>
            <w:noWrap w:val="0"/>
            <w:vAlign w:val="center"/>
          </w:tcPr>
          <w:p w14:paraId="1C335604">
            <w:pPr>
              <w:widowControl/>
              <w:jc w:val="center"/>
              <w:rPr>
                <w:rFonts w:hint="default" w:ascii="宋体" w:hAnsi="宋体" w:cs="宋体"/>
                <w:color w:val="000000"/>
                <w:kern w:val="0"/>
                <w:sz w:val="21"/>
                <w:szCs w:val="21"/>
                <w:highlight w:val="none"/>
                <w:lang w:val="en-US"/>
              </w:rPr>
            </w:pPr>
            <w:r>
              <w:rPr>
                <w:rFonts w:hint="eastAsia" w:ascii="宋体" w:hAnsi="宋体" w:cs="宋体"/>
                <w:color w:val="000000"/>
                <w:kern w:val="0"/>
                <w:sz w:val="21"/>
                <w:szCs w:val="21"/>
                <w:highlight w:val="none"/>
                <w:lang w:val="en-US" w:eastAsia="zh-CN"/>
              </w:rPr>
              <w:t>1</w:t>
            </w:r>
          </w:p>
        </w:tc>
        <w:tc>
          <w:tcPr>
            <w:tcW w:w="566" w:type="pct"/>
            <w:tcBorders>
              <w:top w:val="single" w:color="auto" w:sz="4" w:space="0"/>
              <w:left w:val="single" w:color="auto" w:sz="4" w:space="0"/>
              <w:bottom w:val="single" w:color="auto" w:sz="4" w:space="0"/>
              <w:right w:val="single" w:color="auto" w:sz="4" w:space="0"/>
            </w:tcBorders>
            <w:noWrap w:val="0"/>
            <w:vAlign w:val="center"/>
          </w:tcPr>
          <w:p w14:paraId="149B035F">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bl>
    <w:p w14:paraId="7FCFC47D">
      <w:pPr>
        <w:spacing w:line="420" w:lineRule="exact"/>
        <w:ind w:firstLine="482" w:firstLineChars="200"/>
        <w:rPr>
          <w:rFonts w:hint="eastAsia" w:ascii="宋体" w:hAnsi="宋体"/>
          <w:b/>
          <w:color w:val="auto"/>
          <w:sz w:val="24"/>
          <w:szCs w:val="24"/>
        </w:rPr>
      </w:pPr>
    </w:p>
    <w:p w14:paraId="153BCBAB">
      <w:pPr>
        <w:spacing w:line="420" w:lineRule="exact"/>
        <w:ind w:firstLine="482" w:firstLineChars="200"/>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4E7C5796">
      <w:pPr>
        <w:numPr>
          <w:ilvl w:val="0"/>
          <w:numId w:val="1"/>
        </w:numPr>
        <w:spacing w:line="360" w:lineRule="auto"/>
        <w:ind w:firstLine="482"/>
        <w:rPr>
          <w:rFonts w:ascii="宋体" w:hAnsi="宋体" w:cs="宋体"/>
          <w:b/>
          <w:kern w:val="0"/>
          <w:sz w:val="24"/>
          <w:szCs w:val="24"/>
        </w:rPr>
      </w:pPr>
      <w:bookmarkStart w:id="0" w:name="OLE_LINK7"/>
      <w:r>
        <w:rPr>
          <w:rFonts w:hint="eastAsia" w:ascii="宋体" w:hAnsi="宋体"/>
          <w:b/>
          <w:color w:val="auto"/>
          <w:sz w:val="24"/>
          <w:szCs w:val="24"/>
          <w:lang w:val="en-US" w:eastAsia="zh-CN"/>
        </w:rPr>
        <w:t>标的使用须符合仓库标准的法律法规进行使用。</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r>
        <w:rPr>
          <w:rFonts w:hint="eastAsia" w:ascii="宋体" w:hAnsi="宋体"/>
          <w:b/>
          <w:sz w:val="24"/>
          <w:szCs w:val="24"/>
        </w:rPr>
        <w:t>租赁期间，若因</w:t>
      </w:r>
      <w:r>
        <w:rPr>
          <w:rFonts w:hint="eastAsia" w:ascii="宋体" w:hAnsi="宋体" w:cs="宋体"/>
          <w:b/>
          <w:sz w:val="24"/>
          <w:szCs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szCs w:val="24"/>
        </w:rPr>
        <w:t>，致使本合同不能履行时，</w:t>
      </w:r>
      <w:r>
        <w:rPr>
          <w:rFonts w:hint="eastAsia"/>
          <w:b/>
          <w:sz w:val="24"/>
        </w:rPr>
        <w:t>委托人（出租人）</w:t>
      </w:r>
      <w:r>
        <w:rPr>
          <w:rFonts w:hint="eastAsia" w:ascii="宋体" w:hAnsi="宋体"/>
          <w:b/>
          <w:sz w:val="24"/>
          <w:szCs w:val="24"/>
        </w:rPr>
        <w:t>提前二个月通知</w:t>
      </w:r>
      <w:r>
        <w:rPr>
          <w:rFonts w:hint="eastAsia" w:ascii="宋体" w:hAnsi="宋体" w:cs="宋体"/>
          <w:b/>
          <w:sz w:val="24"/>
          <w:szCs w:val="24"/>
        </w:rPr>
        <w:t>买受人（承租人）</w:t>
      </w:r>
      <w:r>
        <w:rPr>
          <w:rFonts w:hint="eastAsia" w:ascii="宋体" w:hAnsi="宋体"/>
          <w:b/>
          <w:sz w:val="24"/>
          <w:szCs w:val="24"/>
        </w:rPr>
        <w:t>，有权单方解除本合同，</w:t>
      </w:r>
      <w:r>
        <w:rPr>
          <w:rFonts w:hint="eastAsia" w:ascii="宋体" w:hAnsi="宋体" w:cs="宋体"/>
          <w:b/>
          <w:kern w:val="0"/>
          <w:sz w:val="24"/>
          <w:szCs w:val="24"/>
        </w:rPr>
        <w:t>收回租赁标的（租金按实结算），</w:t>
      </w:r>
      <w:r>
        <w:rPr>
          <w:rFonts w:hint="eastAsia" w:ascii="宋体" w:hAnsi="宋体" w:cs="宋体"/>
          <w:b/>
          <w:sz w:val="24"/>
          <w:szCs w:val="24"/>
        </w:rPr>
        <w:t>买受人（承租人）</w:t>
      </w:r>
      <w:r>
        <w:rPr>
          <w:rFonts w:hint="eastAsia" w:ascii="宋体" w:hAnsi="宋体" w:cs="宋体"/>
          <w:b/>
          <w:kern w:val="0"/>
          <w:sz w:val="24"/>
          <w:szCs w:val="24"/>
        </w:rPr>
        <w:t>必须无条件服从且不得向</w:t>
      </w:r>
      <w:r>
        <w:rPr>
          <w:rFonts w:hint="eastAsia"/>
          <w:b/>
          <w:sz w:val="24"/>
        </w:rPr>
        <w:t>委托人（出租人）</w:t>
      </w:r>
      <w:r>
        <w:rPr>
          <w:rFonts w:hint="eastAsia" w:ascii="宋体" w:hAnsi="宋体" w:cs="宋体"/>
          <w:b/>
          <w:kern w:val="0"/>
          <w:sz w:val="24"/>
          <w:szCs w:val="24"/>
        </w:rPr>
        <w:t>主张任何损失赔偿或补偿。</w:t>
      </w:r>
    </w:p>
    <w:bookmarkEnd w:id="0"/>
    <w:p w14:paraId="3B82B0AD">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23</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w:t>
      </w:r>
      <w:r>
        <w:rPr>
          <w:rFonts w:hint="eastAsia" w:ascii="宋体" w:hAnsi="宋体" w:eastAsia="宋体" w:cs="宋体"/>
          <w:color w:val="auto"/>
          <w:sz w:val="24"/>
        </w:rPr>
        <w:t>月</w:t>
      </w:r>
      <w:r>
        <w:rPr>
          <w:rFonts w:hint="eastAsia" w:ascii="宋体" w:hAnsi="宋体" w:cs="宋体"/>
          <w:color w:val="auto"/>
          <w:sz w:val="24"/>
          <w:lang w:val="en-US" w:eastAsia="zh-CN"/>
        </w:rPr>
        <w:t>23</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23</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履约保证金（履约保证金</w:t>
      </w:r>
      <w:r>
        <w:rPr>
          <w:rFonts w:hint="eastAsia" w:ascii="宋体" w:hAnsi="宋体" w:eastAsia="宋体" w:cs="宋体"/>
          <w:b w:val="0"/>
          <w:bCs/>
          <w:color w:val="auto"/>
          <w:spacing w:val="-4"/>
          <w:sz w:val="24"/>
          <w:szCs w:val="24"/>
        </w:rPr>
        <w:t>为</w:t>
      </w:r>
      <w:r>
        <w:rPr>
          <w:rFonts w:hint="eastAsia" w:ascii="宋体" w:hAnsi="宋体" w:cs="宋体"/>
          <w:b w:val="0"/>
          <w:bCs/>
          <w:color w:val="auto"/>
          <w:spacing w:val="-4"/>
          <w:sz w:val="24"/>
          <w:szCs w:val="24"/>
          <w:lang w:val="en-US" w:eastAsia="zh-CN"/>
        </w:rPr>
        <w:t>2</w:t>
      </w:r>
      <w:r>
        <w:rPr>
          <w:rFonts w:hint="eastAsia" w:ascii="宋体" w:hAnsi="宋体" w:eastAsia="宋体" w:cs="宋体"/>
          <w:b w:val="0"/>
          <w:bCs/>
          <w:color w:val="auto"/>
          <w:spacing w:val="-4"/>
          <w:sz w:val="24"/>
          <w:szCs w:val="24"/>
          <w:lang w:val="en-US" w:eastAsia="zh-CN"/>
        </w:rPr>
        <w:t>0万元</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委托人指定账户名称：宁波市镇海公路主枢纽货运站有限公司</w:t>
      </w:r>
      <w:r>
        <w:rPr>
          <w:rFonts w:hint="eastAsia" w:ascii="宋体" w:hAnsi="宋体" w:eastAsia="宋体" w:cs="宋体"/>
          <w:b w:val="0"/>
          <w:bCs/>
          <w:color w:val="auto"/>
          <w:spacing w:val="-4"/>
          <w:sz w:val="24"/>
          <w:szCs w:val="24"/>
          <w:lang w:val="en-US" w:eastAsia="zh-CN"/>
        </w:rPr>
        <w:t xml:space="preserve"> </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ascii="宋体" w:hAnsi="宋体" w:eastAsia="宋体" w:cs="宋体"/>
          <w:b w:val="0"/>
          <w:bCs/>
          <w:color w:val="auto"/>
          <w:spacing w:val="-4"/>
          <w:sz w:val="24"/>
          <w:szCs w:val="24"/>
          <w:lang w:eastAsia="zh-CN"/>
        </w:rPr>
        <w:t>中国建设银行宁波镇海支行，账号：33101984036050163517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日</w:t>
      </w:r>
    </w:p>
    <w:p w14:paraId="45C3FAAF">
      <w:pPr>
        <w:adjustRightInd w:val="0"/>
        <w:snapToGrid w:val="0"/>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0A74ECE9">
      <w:pPr>
        <w:adjustRightInd w:val="0"/>
        <w:snapToGrid w:val="0"/>
        <w:spacing w:line="560" w:lineRule="exact"/>
        <w:jc w:val="center"/>
        <w:rPr>
          <w:rFonts w:hint="eastAsia" w:ascii="方正小标宋简体" w:hAnsi="方正小标宋简体" w:eastAsia="方正小标宋简体" w:cs="Helvetica"/>
          <w:bCs/>
          <w:sz w:val="44"/>
          <w:szCs w:val="44"/>
          <w:lang w:bidi="ar"/>
        </w:rPr>
      </w:pPr>
    </w:p>
    <w:p w14:paraId="42B1583F">
      <w:pPr>
        <w:adjustRightInd w:val="0"/>
        <w:snapToGrid w:val="0"/>
        <w:spacing w:line="560" w:lineRule="exact"/>
        <w:jc w:val="center"/>
        <w:rPr>
          <w:rFonts w:hint="eastAsia" w:ascii="方正小标宋简体" w:hAnsi="方正小标宋简体" w:eastAsia="方正小标宋简体" w:cs="Helvetica"/>
          <w:bCs/>
          <w:sz w:val="44"/>
          <w:szCs w:val="44"/>
          <w:lang w:bidi="ar"/>
        </w:rPr>
      </w:pPr>
      <w:r>
        <w:rPr>
          <w:rFonts w:hint="eastAsia" w:ascii="方正小标宋简体" w:hAnsi="方正小标宋简体" w:eastAsia="方正小标宋简体" w:cs="Helvetica"/>
          <w:bCs/>
          <w:sz w:val="44"/>
          <w:szCs w:val="44"/>
          <w:lang w:bidi="ar"/>
        </w:rPr>
        <w:t>房屋租赁合同</w:t>
      </w:r>
    </w:p>
    <w:p w14:paraId="28934C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（以下简称甲方）</w:t>
      </w:r>
    </w:p>
    <w:p w14:paraId="35DDDAF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统一社会信用代码：                      </w:t>
      </w:r>
    </w:p>
    <w:p w14:paraId="1B25612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地址：宁波市镇海区平海路1188号。</w:t>
      </w:r>
    </w:p>
    <w:p w14:paraId="040C52C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67D09F0A">
      <w:pPr>
        <w:adjustRightInd w:val="0"/>
        <w:snapToGrid w:val="0"/>
        <w:spacing w:line="560" w:lineRule="exact"/>
        <w:rPr>
          <w:rFonts w:hint="eastAsia" w:ascii="仿宋_GB2312" w:hAnsi="仿宋" w:eastAsia="仿宋_GB2312"/>
          <w:sz w:val="32"/>
          <w:szCs w:val="32"/>
        </w:rPr>
      </w:pPr>
    </w:p>
    <w:p w14:paraId="4972416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3F443FD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（以下简称乙方）</w:t>
      </w:r>
    </w:p>
    <w:p w14:paraId="385328FA">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6957C5E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地址：宁波市镇海区定海路289号</w:t>
      </w:r>
    </w:p>
    <w:p w14:paraId="6750FD6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291605E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4CED2C35">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第一条 资产基本情况</w:t>
      </w:r>
    </w:p>
    <w:p w14:paraId="41C5DD6C">
      <w:pPr>
        <w:adjustRightInd w:val="0"/>
        <w:snapToGrid w:val="0"/>
        <w:spacing w:line="560" w:lineRule="exact"/>
        <w:ind w:left="420" w:firstLine="217" w:firstLineChars="68"/>
        <w:rPr>
          <w:rFonts w:hint="eastAsia" w:ascii="仿宋_GB2312" w:hAnsi="仿宋" w:eastAsia="仿宋_GB2312"/>
          <w:color w:val="auto"/>
          <w:sz w:val="32"/>
          <w:szCs w:val="32"/>
        </w:rPr>
      </w:pPr>
      <w:r>
        <w:rPr>
          <w:rFonts w:hint="eastAsia" w:ascii="仿宋_GB2312" w:hAnsi="仿宋" w:eastAsia="仿宋_GB2312"/>
          <w:color w:val="auto"/>
          <w:sz w:val="32"/>
          <w:szCs w:val="32"/>
        </w:rPr>
        <w:t>（一）甲方拟出租资产坐落于【】，</w:t>
      </w:r>
      <w:r>
        <w:rPr>
          <w:rFonts w:hint="eastAsia" w:ascii="仿宋_GB2312" w:hAnsi="仿宋" w:eastAsia="仿宋_GB2312"/>
          <w:color w:val="auto"/>
          <w:sz w:val="32"/>
          <w:szCs w:val="32"/>
          <w:lang w:val="en-US" w:eastAsia="zh-CN"/>
        </w:rPr>
        <w:t>建筑</w:t>
      </w:r>
      <w:r>
        <w:rPr>
          <w:rFonts w:hint="eastAsia" w:ascii="仿宋_GB2312" w:hAnsi="仿宋" w:eastAsia="仿宋_GB2312"/>
          <w:color w:val="auto"/>
          <w:sz w:val="32"/>
          <w:szCs w:val="32"/>
        </w:rPr>
        <w:t>面积【】平方米，</w:t>
      </w:r>
      <w:r>
        <w:rPr>
          <w:rFonts w:hint="eastAsia" w:ascii="仿宋_GB2312" w:hAnsi="仿宋" w:eastAsia="仿宋_GB2312"/>
          <w:color w:val="auto"/>
          <w:sz w:val="32"/>
          <w:szCs w:val="32"/>
          <w:lang w:val="en-US" w:eastAsia="zh-CN"/>
        </w:rPr>
        <w:t>权证号【】</w:t>
      </w:r>
      <w:r>
        <w:rPr>
          <w:rFonts w:hint="eastAsia" w:ascii="仿宋_GB2312" w:hAnsi="仿宋" w:eastAsia="仿宋_GB2312"/>
          <w:color w:val="auto"/>
          <w:sz w:val="32"/>
          <w:szCs w:val="32"/>
        </w:rPr>
        <w:t>。（附权证证明）</w:t>
      </w:r>
    </w:p>
    <w:p w14:paraId="5ECC4EDA">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（二）装修、设备情况：</w:t>
      </w:r>
    </w:p>
    <w:p w14:paraId="5EF9DA2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u w:val="single"/>
        </w:rPr>
        <w:t xml:space="preserve">                                          </w:t>
      </w:r>
    </w:p>
    <w:p w14:paraId="32323B7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4C21354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3104C858">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第二条 资产用途</w:t>
      </w:r>
    </w:p>
    <w:p w14:paraId="1F86A79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使用。除双方另有约定外，乙方不得随意改变资产用途。</w:t>
      </w:r>
    </w:p>
    <w:p w14:paraId="0BD93576">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第三条 租赁期限</w:t>
      </w:r>
    </w:p>
    <w:p w14:paraId="26E4BA4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2FCAD1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12C35783">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第四条 租赁履约保证金</w:t>
      </w:r>
    </w:p>
    <w:p w14:paraId="6B010A5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rPr>
        <w:t>之日起7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21F7807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2F07C6E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1、欠付租金及其他费用；</w:t>
      </w:r>
    </w:p>
    <w:p w14:paraId="58670AF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041CD7F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6196BD1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6EE1977D">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第五条 租金及付款方式</w:t>
      </w:r>
    </w:p>
    <w:p w14:paraId="5F7D78B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1、双方约定，租金标准为</w:t>
      </w:r>
      <w:r>
        <w:rPr>
          <w:rFonts w:hint="eastAsia" w:ascii="仿宋_GB2312" w:hAnsi="仿宋" w:eastAsia="仿宋_GB2312"/>
          <w:sz w:val="32"/>
          <w:szCs w:val="32"/>
          <w:u w:val="single"/>
        </w:rPr>
        <w:t xml:space="preserve">     </w:t>
      </w:r>
      <w:r>
        <w:rPr>
          <w:rFonts w:hint="eastAsia" w:ascii="仿宋_GB2312" w:hAnsi="仿宋" w:eastAsia="仿宋_GB2312"/>
          <w:sz w:val="32"/>
          <w:szCs w:val="32"/>
        </w:rPr>
        <w:t>元/年,租金按半年支付一次，先付后用。</w:t>
      </w:r>
    </w:p>
    <w:p w14:paraId="6B8CEA4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1648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vAlign w:val="center"/>
          </w:tcPr>
          <w:p w14:paraId="1805ACC6">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期 次</w:t>
            </w:r>
          </w:p>
        </w:tc>
        <w:tc>
          <w:tcPr>
            <w:tcW w:w="2763" w:type="dxa"/>
            <w:vAlign w:val="center"/>
          </w:tcPr>
          <w:p w14:paraId="2CC1D3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支付时点</w:t>
            </w:r>
          </w:p>
        </w:tc>
        <w:tc>
          <w:tcPr>
            <w:tcW w:w="2655" w:type="dxa"/>
            <w:vAlign w:val="center"/>
          </w:tcPr>
          <w:p w14:paraId="22EB836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计费周期</w:t>
            </w:r>
          </w:p>
        </w:tc>
        <w:tc>
          <w:tcPr>
            <w:tcW w:w="2340" w:type="dxa"/>
            <w:vAlign w:val="center"/>
          </w:tcPr>
          <w:p w14:paraId="401C3C7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当期应付数额/元</w:t>
            </w:r>
          </w:p>
        </w:tc>
      </w:tr>
      <w:tr w14:paraId="5C80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740B25B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第一期</w:t>
            </w:r>
          </w:p>
        </w:tc>
        <w:tc>
          <w:tcPr>
            <w:tcW w:w="2763" w:type="dxa"/>
            <w:vAlign w:val="center"/>
          </w:tcPr>
          <w:p w14:paraId="6AB251A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tc>
        <w:tc>
          <w:tcPr>
            <w:tcW w:w="2655" w:type="dxa"/>
            <w:vAlign w:val="center"/>
          </w:tcPr>
          <w:p w14:paraId="55F2E61B">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6272785E">
            <w:pPr>
              <w:adjustRightInd w:val="0"/>
              <w:snapToGrid w:val="0"/>
              <w:spacing w:line="560" w:lineRule="exact"/>
              <w:ind w:firstLine="640" w:firstLineChars="200"/>
              <w:rPr>
                <w:rFonts w:hint="eastAsia" w:ascii="仿宋_GB2312" w:hAnsi="仿宋" w:eastAsia="仿宋_GB2312"/>
                <w:sz w:val="32"/>
                <w:szCs w:val="32"/>
              </w:rPr>
            </w:pPr>
          </w:p>
        </w:tc>
      </w:tr>
      <w:tr w14:paraId="6E50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4B40F752">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第二期</w:t>
            </w:r>
          </w:p>
        </w:tc>
        <w:tc>
          <w:tcPr>
            <w:tcW w:w="2763" w:type="dxa"/>
            <w:vAlign w:val="center"/>
          </w:tcPr>
          <w:p w14:paraId="165CEA9F">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05A18379">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203D64CB">
            <w:pPr>
              <w:adjustRightInd w:val="0"/>
              <w:snapToGrid w:val="0"/>
              <w:spacing w:line="560" w:lineRule="exact"/>
              <w:ind w:firstLine="640" w:firstLineChars="200"/>
              <w:rPr>
                <w:rFonts w:hint="eastAsia" w:ascii="仿宋_GB2312" w:hAnsi="仿宋" w:eastAsia="仿宋_GB2312"/>
                <w:sz w:val="32"/>
                <w:szCs w:val="32"/>
              </w:rPr>
            </w:pPr>
          </w:p>
        </w:tc>
      </w:tr>
      <w:tr w14:paraId="7C9F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20DF722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第三期</w:t>
            </w:r>
          </w:p>
        </w:tc>
        <w:tc>
          <w:tcPr>
            <w:tcW w:w="2763" w:type="dxa"/>
            <w:vAlign w:val="center"/>
          </w:tcPr>
          <w:p w14:paraId="372C1D29">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32678E8E">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49D49D33">
            <w:pPr>
              <w:adjustRightInd w:val="0"/>
              <w:snapToGrid w:val="0"/>
              <w:spacing w:line="560" w:lineRule="exact"/>
              <w:ind w:firstLine="640" w:firstLineChars="200"/>
              <w:rPr>
                <w:rFonts w:hint="eastAsia" w:ascii="仿宋_GB2312" w:hAnsi="仿宋" w:eastAsia="仿宋_GB2312"/>
                <w:sz w:val="32"/>
                <w:szCs w:val="32"/>
              </w:rPr>
            </w:pPr>
          </w:p>
        </w:tc>
      </w:tr>
    </w:tbl>
    <w:p w14:paraId="105244B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3F2351D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单位名称：宁波市镇海公路主枢纽货运站有限公司</w:t>
      </w:r>
    </w:p>
    <w:p w14:paraId="4907566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纳税人识别号：91330211717278480D</w:t>
      </w:r>
    </w:p>
    <w:p w14:paraId="398AC18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地址电话：镇海区招宝山街道平海路1188号86266308</w:t>
      </w:r>
    </w:p>
    <w:p w14:paraId="1B301C0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开户银行：  中国建设银行宁波镇海支行</w:t>
      </w:r>
    </w:p>
    <w:p w14:paraId="1FB048A2">
      <w:pPr>
        <w:adjustRightInd w:val="0"/>
        <w:snapToGrid w:val="0"/>
        <w:spacing w:line="560" w:lineRule="exact"/>
        <w:ind w:firstLine="600" w:firstLineChars="200"/>
        <w:rPr>
          <w:rFonts w:hint="eastAsia" w:ascii="宋体" w:hAnsi="宋体" w:cs="宋体"/>
          <w:sz w:val="30"/>
          <w:szCs w:val="30"/>
        </w:rPr>
      </w:pPr>
      <w:r>
        <w:rPr>
          <w:rFonts w:hint="eastAsia" w:ascii="宋体" w:hAnsi="宋体" w:cs="宋体"/>
          <w:sz w:val="30"/>
          <w:szCs w:val="30"/>
        </w:rPr>
        <w:t>开户账号：33101984036050163517</w:t>
      </w:r>
    </w:p>
    <w:p w14:paraId="48DF2DA4">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乙方支付租金后，甲方应当向乙方提供正规税务发票（租金为含税价</w:t>
      </w:r>
      <w:r>
        <w:rPr>
          <w:rFonts w:ascii="仿宋_GB2312" w:hAnsi="仿宋" w:eastAsia="仿宋_GB2312"/>
          <w:sz w:val="32"/>
          <w:szCs w:val="32"/>
        </w:rPr>
        <w:t>）</w:t>
      </w:r>
      <w:r>
        <w:rPr>
          <w:rFonts w:hint="eastAsia" w:ascii="仿宋_GB2312" w:hAnsi="仿宋" w:eastAsia="仿宋_GB2312"/>
          <w:sz w:val="32"/>
          <w:szCs w:val="32"/>
        </w:rPr>
        <w:t xml:space="preserve"> 。</w:t>
      </w:r>
    </w:p>
    <w:p w14:paraId="34E6CEA9">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乙方开票信息：</w:t>
      </w:r>
    </w:p>
    <w:p w14:paraId="1592FA5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公司名称：            </w:t>
      </w:r>
    </w:p>
    <w:p w14:paraId="4299D5DC">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地址：                </w:t>
      </w:r>
    </w:p>
    <w:p w14:paraId="22AE29FF">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联系电话：            </w:t>
      </w:r>
    </w:p>
    <w:p w14:paraId="0E8DE3A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开户银行：            </w:t>
      </w:r>
    </w:p>
    <w:p w14:paraId="7462F9C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银行账号：            </w:t>
      </w:r>
    </w:p>
    <w:p w14:paraId="1414E9B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第六条 资产租赁期间的相关费用</w:t>
      </w:r>
    </w:p>
    <w:p w14:paraId="0155C6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52B87359">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租赁期间牵涉到的水、电、气、通讯、物业管理费、厂区出入口设置等一切经营费用以及出租使用期间的日常维修、维护、保养、扩容等一切费用等。</w:t>
      </w:r>
    </w:p>
    <w:p w14:paraId="092E051D">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其他与资产使用相关的税金或费用。</w:t>
      </w:r>
    </w:p>
    <w:p w14:paraId="4586D8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（二）乙方应对经营活动产生的噪音、废水、废气进行妥善处理，不得为此影响周边居民和单位的正常工作、生活，因此造成的一切损失和责任均由乙方承担。</w:t>
      </w:r>
    </w:p>
    <w:p w14:paraId="611BD64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第七条 甲方的权利与义务</w:t>
      </w:r>
    </w:p>
    <w:p w14:paraId="03F8FE73">
      <w:pPr>
        <w:numPr>
          <w:ilvl w:val="0"/>
          <w:numId w:val="5"/>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因政策性拆迁或不可抗力（指不可预见、不能避免、不能克服的客观情况）等特殊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由甲方享有，但法律、法规规定应当由乙方享有的除外。</w:t>
      </w:r>
    </w:p>
    <w:p w14:paraId="02463748">
      <w:pPr>
        <w:numPr>
          <w:ilvl w:val="0"/>
          <w:numId w:val="5"/>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w:t>
      </w:r>
      <w:r>
        <w:rPr>
          <w:rFonts w:hint="eastAsia" w:ascii="仿宋_GB2312" w:hAnsi="仿宋" w:eastAsia="仿宋_GB2312"/>
          <w:sz w:val="32"/>
          <w:szCs w:val="32"/>
          <w:lang w:val="en-US" w:eastAsia="zh-CN"/>
        </w:rPr>
        <w:t>没收全部履约保证金，</w:t>
      </w:r>
      <w:r>
        <w:rPr>
          <w:rFonts w:ascii="仿宋_GB2312" w:hAnsi="仿宋" w:eastAsia="仿宋_GB2312"/>
          <w:sz w:val="32"/>
          <w:szCs w:val="32"/>
        </w:rPr>
        <w:t>并</w:t>
      </w:r>
      <w:r>
        <w:rPr>
          <w:rFonts w:hint="eastAsia" w:ascii="仿宋_GB2312" w:hAnsi="仿宋" w:eastAsia="仿宋_GB2312"/>
          <w:sz w:val="32"/>
          <w:szCs w:val="32"/>
        </w:rPr>
        <w:t>要求乙方承担该年度租金30%的违约金</w:t>
      </w:r>
      <w:r>
        <w:rPr>
          <w:rFonts w:ascii="仿宋_GB2312" w:hAnsi="仿宋" w:eastAsia="仿宋_GB2312"/>
          <w:sz w:val="32"/>
          <w:szCs w:val="32"/>
        </w:rPr>
        <w:t>，</w:t>
      </w:r>
      <w:r>
        <w:rPr>
          <w:rFonts w:hint="eastAsia" w:ascii="仿宋_GB2312" w:hAnsi="仿宋" w:eastAsia="仿宋_GB2312"/>
          <w:sz w:val="32"/>
          <w:szCs w:val="32"/>
        </w:rPr>
        <w:t>收回租赁资产，由此产生的一切损失由乙方承担。</w:t>
      </w:r>
    </w:p>
    <w:p w14:paraId="2D7F2237">
      <w:pPr>
        <w:numPr>
          <w:ilvl w:val="0"/>
          <w:numId w:val="5"/>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甲方因企业发展等需要有权随时收回租赁资产且无需承担任何违约责任，租金按日计算至乙方实际腾退之日，多退少补</w:t>
      </w:r>
      <w:r>
        <w:rPr>
          <w:rFonts w:hint="eastAsia" w:ascii="仿宋_GB2312" w:hAnsi="仿宋" w:eastAsia="仿宋_GB2312"/>
          <w:sz w:val="32"/>
          <w:szCs w:val="32"/>
          <w:lang w:val="en-US" w:eastAsia="zh-CN"/>
        </w:rPr>
        <w:t>.</w:t>
      </w:r>
    </w:p>
    <w:p w14:paraId="5AC36CCB">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第八条 乙方的权利与义务</w:t>
      </w:r>
    </w:p>
    <w:p w14:paraId="163184F6">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04C69A5A">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必须保持租赁资产整体结构不受破坏，不得擅自拆改结构或改变用途，否则造成的一切损失由乙方承担。未经甲方书面同意，乙方不得擅自装修或搭建临时建筑物，按规定须向有关部门审批的，则还应由甲方报请有关部门批准后，方可进行，产生的装修费由乙方自行承担。租赁期满或合同提前终止时，除可以移动的动产外，其他已形成添附的装饰装修物无偿归甲方所有，乙方亦不得拆除，甲方不对此作任何补偿。乙方增设的可活动的物品、设备等，由乙方自行处理，并承担相应费用。</w:t>
      </w:r>
    </w:p>
    <w:p w14:paraId="3856E017">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租赁期满或合同提前终止时，若乙方改变原甲方交付时租赁资产现状的，乙方交还租赁资产时应按甲方要求无条件恢复原状，并承担相应费用。</w:t>
      </w:r>
    </w:p>
    <w:p w14:paraId="521C1F06">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未经甲方书面同意，乙方不得擅自直接或变相全部或部分转租、转让、转借或与第三方互换使用租赁资产，不得将所租资产作任何形式的抵押或担保，由此造成的一切损失由乙方承担。</w:t>
      </w:r>
    </w:p>
    <w:p w14:paraId="7E5A29EB">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租赁资产及附属物品、设备设施等维修养护及费用由乙方负责。因乙方保管不当、不合理使用或未及时维修，致使租赁资产及其附属物品、设备设施等发生损坏或故障的，乙方应负责维修，如无法维修应按照相关市场价承担赔偿责任。</w:t>
      </w:r>
    </w:p>
    <w:p w14:paraId="1BDF0917">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乙方在经营过程中，由于乙方原因造成第三人财产损失、人身损害或其他侵权情形的，由乙方自行承担一切损失和责任，若甲方因此遭受损失的，乙方还应承担赔偿责任。</w:t>
      </w:r>
    </w:p>
    <w:p w14:paraId="566C7E03">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租赁期间，乙方应负责做好消防、安全、卫生等工作，甲方有权予以督促。由于乙方消防治安等责任不到位，措施不落实等原因，导致经济损失或人员伤亡的，由乙方承担一切责任和损失。</w:t>
      </w:r>
    </w:p>
    <w:p w14:paraId="1B2B1DF2">
      <w:pPr>
        <w:numPr>
          <w:ilvl w:val="0"/>
          <w:numId w:val="6"/>
        </w:num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w:t>
      </w:r>
      <w:r>
        <w:rPr>
          <w:rFonts w:hint="eastAsia" w:ascii="仿宋_GB2312" w:hAnsi="仿宋" w:eastAsia="仿宋_GB2312"/>
          <w:color w:val="auto"/>
          <w:sz w:val="32"/>
          <w:szCs w:val="32"/>
        </w:rPr>
        <w:t>议生效之日起，保密义务不因协议有效期的终止而结束。</w:t>
      </w:r>
    </w:p>
    <w:p w14:paraId="6028931F">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（九）乙方若要终止租赁关系，须提前叁个月书面通知甲方，租金按日计算至乙方实际腾退之日，多退少补。未提前三个月告知的</w:t>
      </w:r>
      <w:r>
        <w:rPr>
          <w:rFonts w:hint="eastAsia" w:ascii="仿宋_GB2312" w:hAnsi="仿宋" w:eastAsia="仿宋_GB2312"/>
          <w:color w:val="auto"/>
          <w:sz w:val="32"/>
          <w:szCs w:val="32"/>
          <w:lang w:val="en-US" w:eastAsia="zh-CN"/>
        </w:rPr>
        <w:t>乙方应按照第十条第（二）款约定承担责任</w:t>
      </w:r>
      <w:r>
        <w:rPr>
          <w:rFonts w:hint="eastAsia" w:ascii="仿宋_GB2312" w:hAnsi="仿宋" w:eastAsia="仿宋_GB2312"/>
          <w:color w:val="auto"/>
          <w:sz w:val="32"/>
          <w:szCs w:val="32"/>
        </w:rPr>
        <w:t>。</w:t>
      </w:r>
    </w:p>
    <w:p w14:paraId="0FA0EDAC">
      <w:pPr>
        <w:adjustRightInd w:val="0"/>
        <w:snapToGrid w:val="0"/>
        <w:spacing w:line="560" w:lineRule="exact"/>
        <w:rPr>
          <w:rFonts w:hint="eastAsia" w:ascii="黑体" w:hAnsi="黑体" w:eastAsia="黑体"/>
          <w:bCs/>
          <w:color w:val="auto"/>
          <w:sz w:val="32"/>
          <w:szCs w:val="32"/>
        </w:rPr>
      </w:pPr>
      <w:r>
        <w:rPr>
          <w:rFonts w:hint="eastAsia" w:ascii="黑体" w:hAnsi="黑体" w:eastAsia="黑体"/>
          <w:bCs/>
          <w:color w:val="auto"/>
          <w:sz w:val="32"/>
          <w:szCs w:val="32"/>
        </w:rPr>
        <w:t>第九条 租赁期满</w:t>
      </w:r>
    </w:p>
    <w:p w14:paraId="0F976BE3">
      <w:pPr>
        <w:numPr>
          <w:ilvl w:val="0"/>
          <w:numId w:val="7"/>
        </w:numPr>
        <w:adjustRightInd w:val="0"/>
        <w:snapToGrid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（或双方协商确定的合理期限内）完成腾退，向甲方归还租赁资产（以房屋移交确认书为准）并通过甲方验收</w:t>
      </w:r>
      <w:r>
        <w:rPr>
          <w:rFonts w:ascii="仿宋_GB2312" w:hAnsi="仿宋" w:eastAsia="仿宋_GB2312"/>
          <w:sz w:val="32"/>
          <w:szCs w:val="32"/>
        </w:rPr>
        <w:t>，</w:t>
      </w:r>
      <w:r>
        <w:rPr>
          <w:rFonts w:hint="eastAsia" w:ascii="仿宋_GB2312" w:hAnsi="仿宋" w:eastAsia="仿宋_GB2312"/>
          <w:sz w:val="32"/>
          <w:szCs w:val="32"/>
        </w:rPr>
        <w:t>否则，甲方可采用停水、停电等强制性措施；如</w:t>
      </w:r>
      <w:r>
        <w:rPr>
          <w:rFonts w:ascii="仿宋_GB2312" w:hAnsi="仿宋" w:eastAsia="仿宋_GB2312"/>
          <w:sz w:val="32"/>
          <w:szCs w:val="32"/>
        </w:rPr>
        <w:t>逾期未腾退</w:t>
      </w:r>
      <w:r>
        <w:rPr>
          <w:rFonts w:hint="eastAsia" w:ascii="仿宋_GB2312" w:hAnsi="仿宋" w:eastAsia="仿宋_GB2312"/>
          <w:sz w:val="32"/>
          <w:szCs w:val="32"/>
        </w:rPr>
        <w:t>，</w:t>
      </w:r>
      <w:r>
        <w:rPr>
          <w:rFonts w:hint="eastAsia" w:ascii="仿宋_GB2312" w:hAnsi="仿宋" w:eastAsia="仿宋_GB2312"/>
          <w:sz w:val="32"/>
          <w:szCs w:val="32"/>
          <w:lang w:val="en-US" w:eastAsia="zh-CN"/>
        </w:rPr>
        <w:t>乙方应按第十条约定承担违约责任，且</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rPr>
        <w:t>，处置费用由乙方自行承担。</w:t>
      </w:r>
    </w:p>
    <w:p w14:paraId="2BCA980F">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租赁期满后，</w:t>
      </w:r>
      <w:r>
        <w:rPr>
          <w:rFonts w:hint="eastAsia" w:ascii="仿宋_GB2312" w:hAnsi="仿宋" w:eastAsia="仿宋_GB2312"/>
          <w:sz w:val="32"/>
          <w:szCs w:val="32"/>
        </w:rPr>
        <w:t>如乙方要求继续租赁且在甲方继续公开招租时符合招租条件的，乙方在同等条件下享有优先承租权，但乙方须在合同到期日叁个月前书面告知甲方，并按要求办理招租登记手续, 否则视为放弃优先承租权。</w:t>
      </w:r>
    </w:p>
    <w:p w14:paraId="1638303F">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第十条 违约责任</w:t>
      </w:r>
    </w:p>
    <w:p w14:paraId="049FAE9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（一）乙方应按期缴纳租金及其他各项费用，如逾期交纳租金及其他各项费用的，每逾期一日，按该年度租金的</w:t>
      </w:r>
      <w:r>
        <w:rPr>
          <w:rFonts w:hint="eastAsia" w:ascii="仿宋_GB2312" w:hAnsi="仿宋" w:eastAsia="仿宋_GB2312"/>
          <w:sz w:val="32"/>
          <w:szCs w:val="32"/>
          <w:lang w:val="en-US" w:eastAsia="zh-CN"/>
        </w:rPr>
        <w:t>万</w:t>
      </w:r>
      <w:r>
        <w:rPr>
          <w:rFonts w:hint="eastAsia" w:ascii="仿宋_GB2312" w:hAnsi="仿宋" w:eastAsia="仿宋_GB2312"/>
          <w:sz w:val="32"/>
          <w:szCs w:val="32"/>
        </w:rPr>
        <w:t>分之五向甲方支付违约金，逾期超过15个工作日的，甲方有权立即终止合同、不退还乙方剩余租金、没收乙方全部履约保证金、采取停水停电措施并要求乙方按照该年度租金的30%支付违约金，如给甲方造成实际损失的，乙方还应承担赔偿责任。</w:t>
      </w:r>
    </w:p>
    <w:p w14:paraId="7CF9983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甲方有权不退还乙方剩余租金、没收乙方的全部履约保证金并要求乙方支付一个月的租金作为违约金，如给甲方造成实际损失的，乙方还应承担赔偿责任。</w:t>
      </w:r>
    </w:p>
    <w:p w14:paraId="0E5078A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D572CA5">
      <w:pPr>
        <w:adjustRightInd w:val="0"/>
        <w:snapToGrid w:val="0"/>
        <w:spacing w:line="560" w:lineRule="exact"/>
        <w:ind w:firstLine="640" w:firstLineChars="200"/>
        <w:rPr>
          <w:rFonts w:hint="eastAsia" w:ascii="仿宋_GB2312" w:hAnsi="仿宋" w:eastAsia="仿宋_GB2312"/>
          <w:color w:val="000000"/>
          <w:sz w:val="32"/>
          <w:szCs w:val="32"/>
          <w:lang w:eastAsia="zh-CN"/>
        </w:rPr>
      </w:pPr>
      <w:r>
        <w:rPr>
          <w:rFonts w:hint="eastAsia" w:ascii="仿宋_GB2312" w:hAnsi="仿宋" w:eastAsia="仿宋_GB2312"/>
          <w:sz w:val="32"/>
          <w:szCs w:val="32"/>
        </w:rPr>
        <w:t>（四）</w:t>
      </w:r>
      <w:r>
        <w:rPr>
          <w:rFonts w:hint="eastAsia" w:ascii="仿宋_GB2312" w:hAnsi="仿宋" w:eastAsia="仿宋_GB2312"/>
          <w:color w:val="000000"/>
          <w:sz w:val="32"/>
          <w:szCs w:val="32"/>
        </w:rPr>
        <w:t>返还租赁资产时,乙方应将房屋打扫干净,清理屋内垃圾及杂物，并按甲方要求无条件恢复原状,否则视为乙方违约，甲方有权拒绝接收租赁资产并要求乙方按照该年度租金的10%支付违约金，如给甲方造成实际损失的，乙方还应承担赔偿责任</w:t>
      </w:r>
      <w:r>
        <w:rPr>
          <w:rFonts w:hint="eastAsia" w:ascii="仿宋_GB2312" w:hAnsi="仿宋" w:eastAsia="仿宋_GB2312"/>
          <w:color w:val="000000"/>
          <w:sz w:val="32"/>
          <w:szCs w:val="32"/>
          <w:lang w:eastAsia="zh-CN"/>
        </w:rPr>
        <w:t>。</w:t>
      </w:r>
    </w:p>
    <w:p w14:paraId="41F01B97">
      <w:pPr>
        <w:adjustRightInd w:val="0"/>
        <w:snapToGrid w:val="0"/>
        <w:spacing w:line="560" w:lineRule="exact"/>
        <w:ind w:firstLine="640" w:firstLineChars="200"/>
        <w:jc w:val="both"/>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五</w:t>
      </w:r>
      <w:r>
        <w:rPr>
          <w:rFonts w:hint="eastAsia" w:ascii="仿宋_GB2312" w:hAnsi="仿宋" w:eastAsia="仿宋_GB2312"/>
          <w:sz w:val="32"/>
          <w:szCs w:val="32"/>
        </w:rPr>
        <w:t>）因乙方保管不当、不合理使用或未及时维修的,致使房屋(土地)及其附属物品、设备设施发生损坏或故障的,乙方应负责维修，如无法维修应按照设备设施的市场价承担赔偿责任，乙方拒不修复或赔偿的，甲方有权解除合同、不退还乙方剩余租金、没收乙方全部履约保证金，并要求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%支付违约金，如给甲方造成实际损失的，乙方还应承担赔偿责任。</w:t>
      </w:r>
    </w:p>
    <w:p w14:paraId="335F4E7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六</w:t>
      </w:r>
      <w:r>
        <w:rPr>
          <w:rFonts w:hint="eastAsia" w:ascii="仿宋_GB2312" w:hAnsi="仿宋" w:eastAsia="仿宋_GB2312"/>
          <w:sz w:val="32"/>
          <w:szCs w:val="32"/>
        </w:rPr>
        <w:t>）因乙方违约，甲方为追索赔偿而支付的律师费、公证费、保全费、担保费和差旅费等费用均由乙方承担。</w:t>
      </w:r>
    </w:p>
    <w:p w14:paraId="6A52FB0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七</w:t>
      </w:r>
      <w:r>
        <w:rPr>
          <w:rFonts w:hint="eastAsia" w:ascii="仿宋_GB2312" w:hAnsi="仿宋" w:eastAsia="仿宋_GB2312"/>
          <w:sz w:val="32"/>
          <w:szCs w:val="32"/>
        </w:rPr>
        <w:t>）在合同有效期内，如遇到不可抗力因素，致使合同无法履行，双方互不承担责任，所产生的经济损失由双方各自承担，如遇租赁资产拆迁、征用等政府行为的，一方无须向另一方承担违约责任或赔偿责任。</w:t>
      </w:r>
    </w:p>
    <w:p w14:paraId="0C764CA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（九）租赁期内或者乙方实际占用期间，乙方存在违约行为，经甲方事先通知乙方后拒不纠正或合理期限内未予纠正的，甲方有权采取停水停电等形式，直至乙方纠正其违约行为，而无需向乙方承担任何责任。</w:t>
      </w:r>
    </w:p>
    <w:p w14:paraId="3166C90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支付违约</w:t>
      </w:r>
      <w:r>
        <w:rPr>
          <w:rFonts w:hint="eastAsia" w:ascii="仿宋_GB2312" w:hAnsi="仿宋" w:eastAsia="仿宋_GB2312"/>
          <w:color w:val="000000"/>
          <w:sz w:val="32"/>
          <w:szCs w:val="32"/>
        </w:rPr>
        <w:t>金</w:t>
      </w:r>
      <w:r>
        <w:rPr>
          <w:rFonts w:hint="eastAsia" w:ascii="仿宋_GB2312" w:hAnsi="仿宋" w:eastAsia="仿宋_GB2312"/>
          <w:color w:val="000000"/>
          <w:sz w:val="32"/>
          <w:szCs w:val="32"/>
          <w:u w:val="single"/>
        </w:rPr>
        <w:t>/</w:t>
      </w:r>
      <w:r>
        <w:rPr>
          <w:rFonts w:hint="eastAsia" w:ascii="仿宋_GB2312" w:hAnsi="仿宋" w:eastAsia="仿宋_GB2312"/>
          <w:sz w:val="32"/>
          <w:szCs w:val="32"/>
        </w:rPr>
        <w:t>万元、采取停水停电措施至乙方同意按约履行或整改时止等措施。乙方应当按照本合同约定或者告知书约定承担违约责任。</w:t>
      </w:r>
    </w:p>
    <w:p w14:paraId="4F3BEEA2">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第十一条 争议处理方式</w:t>
      </w:r>
    </w:p>
    <w:p w14:paraId="493EA0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02ABE48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176A6217">
      <w:pPr>
        <w:adjustRightInd w:val="0"/>
        <w:snapToGrid w:val="0"/>
        <w:spacing w:line="560" w:lineRule="exact"/>
        <w:ind w:firstLine="320" w:firstLineChars="100"/>
        <w:rPr>
          <w:rFonts w:hint="eastAsia"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6741C06E">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60803604">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对于本合同未尽事项，双方可另行签订补充协议，补充协议作为本合同的附件，具有同等法律效力。</w:t>
      </w:r>
    </w:p>
    <w:p w14:paraId="31A53389">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本合同须经甲乙双方签字并盖章后生效。</w:t>
      </w:r>
    </w:p>
    <w:p w14:paraId="29B6E0D1">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文首所载双方联系信息为双方接收文书资料（含司法程序中文书资料）的指定地址，如有变更应书面通知对方，否则相关文书资料纸质版，快递发出后两日视为送达；电子方式发出的，发出即视为送达。</w:t>
      </w:r>
    </w:p>
    <w:p w14:paraId="67DB87CB">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6BF556BA">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本合同一式肆份，甲乙双方各执贰份，均具有同等的法律效力。</w:t>
      </w:r>
    </w:p>
    <w:p w14:paraId="3E0D118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附件：1.出租资产权证证明</w:t>
      </w:r>
    </w:p>
    <w:p w14:paraId="16677BAF">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2.出租资产安全协议</w:t>
      </w:r>
    </w:p>
    <w:p w14:paraId="1B00AF29">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3.乙方（法人代表）身份证复印件、营业执照复印件</w:t>
      </w:r>
    </w:p>
    <w:p w14:paraId="044C6F6C">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甲方签字(盖章)：              乙方签字(盖章)：</w:t>
      </w:r>
    </w:p>
    <w:p w14:paraId="035B263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法定代表人：                  法定代表人：</w:t>
      </w:r>
    </w:p>
    <w:p w14:paraId="5AD5538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签订地址：                    签订地址：</w:t>
      </w:r>
    </w:p>
    <w:p w14:paraId="44F37768">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                    联系电话：</w:t>
      </w:r>
    </w:p>
    <w:p w14:paraId="4B389E2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委托代理人：                  委托代理人：</w:t>
      </w:r>
    </w:p>
    <w:p w14:paraId="56193CE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身份证号码：                  身份证号码：</w:t>
      </w:r>
    </w:p>
    <w:p w14:paraId="21423CD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年  月  日                    年  月  日</w:t>
      </w:r>
    </w:p>
    <w:p w14:paraId="0525C70D">
      <w:pPr>
        <w:adjustRightInd w:val="0"/>
        <w:snapToGrid w:val="0"/>
        <w:spacing w:line="560" w:lineRule="exact"/>
        <w:ind w:firstLine="1280" w:firstLineChars="400"/>
        <w:rPr>
          <w:rFonts w:hint="eastAsia" w:ascii="仿宋_GB2312" w:hAnsi="仿宋" w:eastAsia="仿宋_GB2312"/>
          <w:sz w:val="32"/>
          <w:szCs w:val="32"/>
        </w:rPr>
      </w:pPr>
    </w:p>
    <w:p w14:paraId="1551EC42">
      <w:pPr>
        <w:widowControl/>
        <w:spacing w:line="560" w:lineRule="exact"/>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rPr>
        <w:t xml:space="preserve"> </w:t>
      </w:r>
      <w:r>
        <w:rPr>
          <w:rFonts w:ascii="仿宋" w:hAnsi="仿宋" w:eastAsia="仿宋" w:cs="仿宋"/>
          <w:sz w:val="32"/>
          <w:szCs w:val="32"/>
        </w:rPr>
        <w:br w:type="page"/>
      </w:r>
      <w:r>
        <w:rPr>
          <w:rFonts w:hint="eastAsia" w:ascii="方正小标宋简体" w:hAnsi="方正小标宋简体" w:eastAsia="方正小标宋简体" w:cs="方正小标宋简体"/>
          <w:sz w:val="44"/>
          <w:szCs w:val="44"/>
        </w:rPr>
        <w:t>出租资产安全协议</w:t>
      </w:r>
    </w:p>
    <w:p w14:paraId="02E14BB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出租方： </w:t>
      </w:r>
    </w:p>
    <w:p w14:paraId="1823482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1C931C38">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52AE4EF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一、安全责任</w:t>
      </w:r>
    </w:p>
    <w:p w14:paraId="0418EDB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房屋（土地）承租方是所租赁房屋（土地）的安全全权责任人，负责该房屋（土地）及附属设施的安全责任。</w:t>
      </w:r>
    </w:p>
    <w:p w14:paraId="4B637877">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二、安全责任内容</w:t>
      </w:r>
    </w:p>
    <w:p w14:paraId="42114C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2CC0852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（二）加强消防安全教育，提高消防安全常识。承租方必须按消防规定配足配齐灭火器材，懂得消防防火知识并会操作使用消防器材，消防设备必须有专人负责管理，提高自防自救能力。</w:t>
      </w:r>
    </w:p>
    <w:p w14:paraId="70BFE77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（三）保证安全通道畅通，严禁封闭、堵塞安全通道。餐饮业人员活动区域严禁存放易燃、可燃物品，不得存放易燃、易爆和有毒物品。</w:t>
      </w:r>
    </w:p>
    <w:p w14:paraId="0D201EC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（四）用电线路安装必须规范，应使用国标电线及材料。严禁一线多用及乱接乱拉现象，定期检查线路安全情况，用电线路距离明火不得少于1.5米。</w:t>
      </w:r>
    </w:p>
    <w:p w14:paraId="2449315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（五）必须具备应有的工商、税务、卫生、防疫和公安机关等相关手续；经营餐饮业必须持有营业执照、健康证明、卫生许可证、特行证等相关证照。</w:t>
      </w:r>
    </w:p>
    <w:p w14:paraId="26F61B1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A7AF8D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发生一般事故两起的，支付违约金十万元；两起以上每增加一起另支付十万元。</w:t>
      </w:r>
    </w:p>
    <w:p w14:paraId="6AA8E04A">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2.发生较大事故的，支付违约金三十万元；每增加一起另支付三十万元。</w:t>
      </w:r>
    </w:p>
    <w:p w14:paraId="6BB159B6">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3.发生重大事故的，支付违约金七十万元；每增加一起另支付七十万元。</w:t>
      </w:r>
    </w:p>
    <w:p w14:paraId="0DCB8B5D">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4.发生特别重大事故的，支付违约金一百五十万元。每增加一起另支付一百五十万元。</w:t>
      </w:r>
    </w:p>
    <w:p w14:paraId="54AE262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且任意一项安全生产目标被突破甲方均有权解除租赁合同，并由乙方根据租赁合同的约定承担合同解除的对应责任。</w:t>
      </w:r>
    </w:p>
    <w:p w14:paraId="37FAAF4A">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三、其他</w:t>
      </w:r>
    </w:p>
    <w:p w14:paraId="27236CC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《出租资产安全协议》与《房屋（土地）租赁合同》具有同等效力，《出租资产安全协议》一式两份，出租方、承租方各一份。</w:t>
      </w:r>
    </w:p>
    <w:p w14:paraId="15118975">
      <w:pPr>
        <w:adjustRightInd w:val="0"/>
        <w:snapToGrid w:val="0"/>
        <w:spacing w:line="560" w:lineRule="exact"/>
        <w:ind w:firstLine="640" w:firstLineChars="200"/>
        <w:rPr>
          <w:rFonts w:hint="eastAsia" w:ascii="仿宋_GB2312" w:hAnsi="仿宋" w:eastAsia="仿宋_GB2312"/>
          <w:sz w:val="32"/>
          <w:szCs w:val="32"/>
        </w:rPr>
      </w:pPr>
    </w:p>
    <w:p w14:paraId="5CD2FB9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承租方：</w:t>
      </w:r>
    </w:p>
    <w:p w14:paraId="250A78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（盖章）                            （盖章）</w:t>
      </w:r>
    </w:p>
    <w:p w14:paraId="1DB0D8D3">
      <w:pPr>
        <w:adjustRightInd w:val="0"/>
        <w:snapToGrid w:val="0"/>
        <w:spacing w:line="560" w:lineRule="exact"/>
        <w:rPr>
          <w:rFonts w:hint="eastAsia" w:ascii="仿宋" w:hAnsi="仿宋" w:eastAsia="仿宋" w:cs="仿宋"/>
          <w:sz w:val="28"/>
          <w:szCs w:val="28"/>
        </w:rPr>
      </w:pPr>
      <w:r>
        <w:rPr>
          <w:rFonts w:hint="eastAsia" w:ascii="仿宋_GB2312" w:hAnsi="仿宋" w:eastAsia="仿宋_GB2312"/>
          <w:sz w:val="32"/>
          <w:szCs w:val="32"/>
        </w:rPr>
        <w:t xml:space="preserve">       年   月    日                     年   月    日</w:t>
      </w: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FAFE6AE-B032-4985-9A30-BA56A1CEAA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5A07CB45-3B87-4596-9FA2-B4C028FB7B06}"/>
  </w:font>
  <w:font w:name="仿宋_GB2312">
    <w:panose1 w:val="02010609030101010101"/>
    <w:charset w:val="86"/>
    <w:family w:val="modern"/>
    <w:pitch w:val="default"/>
    <w:sig w:usb0="00000001" w:usb1="080E0000" w:usb2="00000000" w:usb3="00000000" w:csb0="00040000" w:csb1="00000000"/>
    <w:embedRegular r:id="rId3" w:fontKey="{C1C43B30-F2CE-4E4E-AFFF-F768E15F5495}"/>
  </w:font>
  <w:font w:name="方正小标宋简体">
    <w:panose1 w:val="02000000000000000000"/>
    <w:charset w:val="86"/>
    <w:family w:val="auto"/>
    <w:pitch w:val="default"/>
    <w:sig w:usb0="00000001" w:usb1="08000000" w:usb2="00000000" w:usb3="00000000" w:csb0="00040000" w:csb1="00000000"/>
    <w:embedRegular r:id="rId4" w:fontKey="{201459A5-52F5-4B11-8DEC-FAD3EB95F24F}"/>
  </w:font>
  <w:font w:name="Helvetica">
    <w:altName w:val="Arial"/>
    <w:panose1 w:val="020B0604020202020204"/>
    <w:charset w:val="00"/>
    <w:family w:val="swiss"/>
    <w:pitch w:val="default"/>
    <w:sig w:usb0="00000000" w:usb1="00000000" w:usb2="00000000" w:usb3="00000000" w:csb0="00000001" w:csb1="00000000"/>
    <w:embedRegular r:id="rId5" w:fontKey="{85D1124C-2D0D-4C11-A1FF-02516047CAE3}"/>
  </w:font>
  <w:font w:name="仿宋">
    <w:panose1 w:val="02010609060101010101"/>
    <w:charset w:val="86"/>
    <w:family w:val="auto"/>
    <w:pitch w:val="default"/>
    <w:sig w:usb0="800002BF" w:usb1="38CF7CFA" w:usb2="00000016" w:usb3="00000000" w:csb0="00040001" w:csb1="00000000"/>
    <w:embedRegular r:id="rId6" w:fontKey="{DCC6D310-3FA8-4ECA-AFDA-9AE045D3709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1C1BE68C"/>
    <w:multiLevelType w:val="singleLevel"/>
    <w:tmpl w:val="1C1BE68C"/>
    <w:lvl w:ilvl="0" w:tentative="0">
      <w:start w:val="1"/>
      <w:numFmt w:val="decimal"/>
      <w:suff w:val="nothing"/>
      <w:lvlText w:val="%1、"/>
      <w:lvlJc w:val="left"/>
    </w:lvl>
  </w:abstractNum>
  <w:abstractNum w:abstractNumId="4">
    <w:nsid w:val="24808933"/>
    <w:multiLevelType w:val="singleLevel"/>
    <w:tmpl w:val="24808933"/>
    <w:lvl w:ilvl="0" w:tentative="0">
      <w:start w:val="1"/>
      <w:numFmt w:val="chineseCounting"/>
      <w:suff w:val="nothing"/>
      <w:lvlText w:val="（%1）"/>
      <w:lvlJc w:val="left"/>
      <w:rPr>
        <w:rFonts w:hint="eastAsia"/>
        <w:strike w:val="0"/>
      </w:rPr>
    </w:lvl>
  </w:abstractNum>
  <w:abstractNum w:abstractNumId="5">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6">
    <w:nsid w:val="51BD9309"/>
    <w:multiLevelType w:val="singleLevel"/>
    <w:tmpl w:val="51BD9309"/>
    <w:lvl w:ilvl="0" w:tentative="0">
      <w:start w:val="3"/>
      <w:numFmt w:val="chineseCounting"/>
      <w:suff w:val="nothing"/>
      <w:lvlText w:val="（%1）"/>
      <w:lvlJc w:val="left"/>
      <w:rPr>
        <w:rFonts w:hint="eastAsia"/>
      </w:rPr>
    </w:lvl>
  </w:abstractNum>
  <w:abstractNum w:abstractNumId="7">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1E90844"/>
    <w:rsid w:val="024141DC"/>
    <w:rsid w:val="03A83EC6"/>
    <w:rsid w:val="044C330C"/>
    <w:rsid w:val="046248DD"/>
    <w:rsid w:val="04CC48A5"/>
    <w:rsid w:val="04E8159A"/>
    <w:rsid w:val="05706B86"/>
    <w:rsid w:val="07724E37"/>
    <w:rsid w:val="078C6EA6"/>
    <w:rsid w:val="082C148A"/>
    <w:rsid w:val="0AC7549A"/>
    <w:rsid w:val="0ADA341F"/>
    <w:rsid w:val="0B845139"/>
    <w:rsid w:val="0C654F6B"/>
    <w:rsid w:val="0C9E047D"/>
    <w:rsid w:val="0CAE11B1"/>
    <w:rsid w:val="0D2941EA"/>
    <w:rsid w:val="0D755681"/>
    <w:rsid w:val="0DB60CFB"/>
    <w:rsid w:val="0E032C8D"/>
    <w:rsid w:val="0E8C4620"/>
    <w:rsid w:val="0F45621F"/>
    <w:rsid w:val="0F9E7DA0"/>
    <w:rsid w:val="0FE32D76"/>
    <w:rsid w:val="10447EAA"/>
    <w:rsid w:val="13E40E6B"/>
    <w:rsid w:val="15565D98"/>
    <w:rsid w:val="15EC3809"/>
    <w:rsid w:val="16124B55"/>
    <w:rsid w:val="163F682C"/>
    <w:rsid w:val="1673687F"/>
    <w:rsid w:val="16B4429C"/>
    <w:rsid w:val="171B2DF6"/>
    <w:rsid w:val="17A70B2D"/>
    <w:rsid w:val="183A35E1"/>
    <w:rsid w:val="1B6C6C42"/>
    <w:rsid w:val="1C36422E"/>
    <w:rsid w:val="1C7B60E4"/>
    <w:rsid w:val="1E1B192D"/>
    <w:rsid w:val="202E24B8"/>
    <w:rsid w:val="20C444FE"/>
    <w:rsid w:val="2149055F"/>
    <w:rsid w:val="22771AD7"/>
    <w:rsid w:val="228A7081"/>
    <w:rsid w:val="236C6787"/>
    <w:rsid w:val="23AB3753"/>
    <w:rsid w:val="23AC639B"/>
    <w:rsid w:val="24FF3D57"/>
    <w:rsid w:val="26A12BEB"/>
    <w:rsid w:val="270E5359"/>
    <w:rsid w:val="27E3461F"/>
    <w:rsid w:val="283F26BC"/>
    <w:rsid w:val="294001AA"/>
    <w:rsid w:val="29FA0F90"/>
    <w:rsid w:val="2CC24314"/>
    <w:rsid w:val="2EBA6F40"/>
    <w:rsid w:val="2F6173BC"/>
    <w:rsid w:val="2FBE65BC"/>
    <w:rsid w:val="301533B0"/>
    <w:rsid w:val="324C7EAF"/>
    <w:rsid w:val="32AF043E"/>
    <w:rsid w:val="32E620B2"/>
    <w:rsid w:val="332D7CE1"/>
    <w:rsid w:val="336A24F7"/>
    <w:rsid w:val="34AA6116"/>
    <w:rsid w:val="361678D4"/>
    <w:rsid w:val="36A75FFC"/>
    <w:rsid w:val="36BB5604"/>
    <w:rsid w:val="374675C3"/>
    <w:rsid w:val="37AD13F0"/>
    <w:rsid w:val="389425B0"/>
    <w:rsid w:val="38CC7F9C"/>
    <w:rsid w:val="38F96120"/>
    <w:rsid w:val="393A53ED"/>
    <w:rsid w:val="3981176F"/>
    <w:rsid w:val="39B90520"/>
    <w:rsid w:val="3A667F7C"/>
    <w:rsid w:val="3A6B10EF"/>
    <w:rsid w:val="3CCF1E09"/>
    <w:rsid w:val="3DC54FBA"/>
    <w:rsid w:val="3ED216D9"/>
    <w:rsid w:val="407B3020"/>
    <w:rsid w:val="41704F33"/>
    <w:rsid w:val="41C9151C"/>
    <w:rsid w:val="41D34149"/>
    <w:rsid w:val="41DF4BEC"/>
    <w:rsid w:val="43574906"/>
    <w:rsid w:val="438F64E0"/>
    <w:rsid w:val="448160DE"/>
    <w:rsid w:val="45392515"/>
    <w:rsid w:val="45BE0C6C"/>
    <w:rsid w:val="47571378"/>
    <w:rsid w:val="477261B2"/>
    <w:rsid w:val="49521DF7"/>
    <w:rsid w:val="495C4A24"/>
    <w:rsid w:val="4A687422"/>
    <w:rsid w:val="4A6F4C2B"/>
    <w:rsid w:val="4DB72B71"/>
    <w:rsid w:val="4EFF199E"/>
    <w:rsid w:val="50BB6933"/>
    <w:rsid w:val="51087240"/>
    <w:rsid w:val="517F670C"/>
    <w:rsid w:val="51850890"/>
    <w:rsid w:val="53163C4B"/>
    <w:rsid w:val="53DB6E8D"/>
    <w:rsid w:val="54A2107A"/>
    <w:rsid w:val="551408A9"/>
    <w:rsid w:val="578E4942"/>
    <w:rsid w:val="58845F28"/>
    <w:rsid w:val="58CB5722"/>
    <w:rsid w:val="58DF4954"/>
    <w:rsid w:val="58FF53CC"/>
    <w:rsid w:val="59142C25"/>
    <w:rsid w:val="5AD32876"/>
    <w:rsid w:val="5B3752F1"/>
    <w:rsid w:val="5C0E6052"/>
    <w:rsid w:val="5D1A6C78"/>
    <w:rsid w:val="5DA64068"/>
    <w:rsid w:val="5E425E33"/>
    <w:rsid w:val="5F772160"/>
    <w:rsid w:val="60310561"/>
    <w:rsid w:val="60DB227B"/>
    <w:rsid w:val="613227E3"/>
    <w:rsid w:val="633839B4"/>
    <w:rsid w:val="63A32D5E"/>
    <w:rsid w:val="63D657AA"/>
    <w:rsid w:val="64A05CB5"/>
    <w:rsid w:val="65A17F37"/>
    <w:rsid w:val="69B0699A"/>
    <w:rsid w:val="69E71C90"/>
    <w:rsid w:val="69FA5E67"/>
    <w:rsid w:val="6B2A277C"/>
    <w:rsid w:val="6C186A79"/>
    <w:rsid w:val="6EC46A44"/>
    <w:rsid w:val="6EE15C81"/>
    <w:rsid w:val="6EF81C00"/>
    <w:rsid w:val="70AB7EBB"/>
    <w:rsid w:val="72FD2525"/>
    <w:rsid w:val="74055B36"/>
    <w:rsid w:val="74D3353D"/>
    <w:rsid w:val="750D1C16"/>
    <w:rsid w:val="75545F0B"/>
    <w:rsid w:val="75A629FF"/>
    <w:rsid w:val="75ED062E"/>
    <w:rsid w:val="78FE2B52"/>
    <w:rsid w:val="795D3D1D"/>
    <w:rsid w:val="79F91C98"/>
    <w:rsid w:val="79FD2E0A"/>
    <w:rsid w:val="7A0847C2"/>
    <w:rsid w:val="7A15284A"/>
    <w:rsid w:val="7CEE331F"/>
    <w:rsid w:val="7E5971A9"/>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8927</Words>
  <Characters>9187</Characters>
  <Lines>0</Lines>
  <Paragraphs>0</Paragraphs>
  <TotalTime>0</TotalTime>
  <ScaleCrop>false</ScaleCrop>
  <LinksUpToDate>false</LinksUpToDate>
  <CharactersWithSpaces>9714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2025-01-09T08:03:00Z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